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3E511" w14:textId="2C4E479D" w:rsidR="002B3125" w:rsidRDefault="009542A5">
      <w:pPr>
        <w:pStyle w:val="Naslov1"/>
      </w:pPr>
      <w:bookmarkStart w:id="0" w:name="X8adc019c2c80156afd051a44486e85f2fe82bb1"/>
      <w:r>
        <w:t xml:space="preserve">Bilješke uz financijsko izvješće za razdoblje od 1. siječnja do 30. lipnja 2026. </w:t>
      </w:r>
      <w:proofErr w:type="spellStart"/>
      <w:r w:rsidR="00F23718">
        <w:t>G</w:t>
      </w:r>
      <w:r>
        <w:t>odine</w:t>
      </w:r>
      <w:proofErr w:type="spellEnd"/>
    </w:p>
    <w:p w14:paraId="0250616A" w14:textId="77777777" w:rsidR="00F23718" w:rsidRPr="00F23718" w:rsidRDefault="00F23718" w:rsidP="00F23718">
      <w:pPr>
        <w:pStyle w:val="Tijeloteksta"/>
      </w:pPr>
    </w:p>
    <w:p w14:paraId="0047BBA9" w14:textId="77777777" w:rsidR="002B3125" w:rsidRDefault="009542A5">
      <w:pPr>
        <w:pStyle w:val="Naslov2"/>
      </w:pPr>
      <w:bookmarkStart w:id="1" w:name="rezultat-poslovanja"/>
      <w:r>
        <w:t>1. Rezultat poslovanja</w:t>
      </w:r>
    </w:p>
    <w:p w14:paraId="5AF6E6E2" w14:textId="77777777" w:rsidR="002B3125" w:rsidRDefault="009542A5">
      <w:pPr>
        <w:pStyle w:val="FirstParagraph"/>
      </w:pPr>
      <w:r>
        <w:t xml:space="preserve">U prvom polugodištu 2026. godine škola je ostvarila manjak poslovanja u iznosu od </w:t>
      </w:r>
      <w:r>
        <w:rPr>
          <w:b/>
          <w:bCs/>
        </w:rPr>
        <w:t>8.079,00 EUR</w:t>
      </w:r>
      <w:r>
        <w:t>. Glavni razlog iskazanog manjka odnosi se na neplaćene obveze koje dospijevaju na naplatu nakon završetka izvještajnog razdoblja te će biti podmirene u sljedećem proračunskom razdoblju.</w:t>
      </w:r>
    </w:p>
    <w:p w14:paraId="4D04578D" w14:textId="77777777" w:rsidR="002B3125" w:rsidRDefault="009542A5">
      <w:pPr>
        <w:pStyle w:val="Tijeloteksta"/>
      </w:pPr>
      <w:r>
        <w:t xml:space="preserve">Preneseni manjak iz prethodne godine iznosi </w:t>
      </w:r>
      <w:r>
        <w:rPr>
          <w:b/>
          <w:bCs/>
        </w:rPr>
        <w:t>81.576,82 EUR</w:t>
      </w:r>
      <w:r>
        <w:t xml:space="preserve">, tako da ukupni manjak na kraju izvještajnog razdoblja iznosi </w:t>
      </w:r>
      <w:r>
        <w:rPr>
          <w:b/>
          <w:bCs/>
        </w:rPr>
        <w:t>89.655,82 EUR</w:t>
      </w:r>
      <w:r>
        <w:t>.</w:t>
      </w:r>
    </w:p>
    <w:p w14:paraId="3A9F9038" w14:textId="77777777" w:rsidR="002B3125" w:rsidRDefault="009542A5">
      <w:pPr>
        <w:pStyle w:val="Tijeloteksta"/>
      </w:pPr>
      <w:r>
        <w:t>Navedeni rezultat poslovanja posljedica je vremenskog nesklada između priznavanja rashoda i podmirenja obveza, a ne pokazatelj poremećaja u redovitom poslovanju ustanove.</w:t>
      </w:r>
    </w:p>
    <w:p w14:paraId="166C7F93" w14:textId="77777777" w:rsidR="002B3125" w:rsidRDefault="009542A5">
      <w:pPr>
        <w:pStyle w:val="Naslov2"/>
      </w:pPr>
      <w:bookmarkStart w:id="2" w:name="prihodi-poslovanja"/>
      <w:bookmarkEnd w:id="1"/>
      <w:r>
        <w:t>2. Prihodi poslovanja</w:t>
      </w:r>
    </w:p>
    <w:p w14:paraId="5B66EBF7" w14:textId="77777777" w:rsidR="002B3125" w:rsidRDefault="009542A5">
      <w:pPr>
        <w:pStyle w:val="FirstParagraph"/>
      </w:pPr>
      <w:r>
        <w:t xml:space="preserve">Ukupni prihodi poslovanja ostvareni u razdoblju od 1. siječnja do 30. lipnja 2026. godine iznose </w:t>
      </w:r>
      <w:r>
        <w:rPr>
          <w:b/>
          <w:bCs/>
        </w:rPr>
        <w:t>602.999,05 EUR</w:t>
      </w:r>
      <w:r>
        <w:t xml:space="preserve">, što predstavlja povećanje od </w:t>
      </w:r>
      <w:r>
        <w:rPr>
          <w:b/>
          <w:bCs/>
        </w:rPr>
        <w:t>11,4 %</w:t>
      </w:r>
      <w:r>
        <w:t xml:space="preserve"> u odnosu na isto razdoblje prethodne godine.</w:t>
      </w:r>
    </w:p>
    <w:p w14:paraId="16773A1A" w14:textId="7FD38125" w:rsidR="002B3125" w:rsidRDefault="009542A5">
      <w:pPr>
        <w:pStyle w:val="Tijeloteksta"/>
      </w:pPr>
      <w:r>
        <w:t xml:space="preserve">Ostvareni prihodi u skladu su s Financijskim planom za 2026. godinu. Povećanje prihoda najvećim je dijelom rezultat većih sredstava za provedbu projekta </w:t>
      </w:r>
      <w:proofErr w:type="spellStart"/>
      <w:r>
        <w:rPr>
          <w:b/>
          <w:bCs/>
        </w:rPr>
        <w:t>Pomoćnici</w:t>
      </w:r>
      <w:proofErr w:type="spellEnd"/>
      <w:r>
        <w:rPr>
          <w:b/>
          <w:bCs/>
        </w:rPr>
        <w:t xml:space="preserve"> u </w:t>
      </w:r>
      <w:proofErr w:type="spellStart"/>
      <w:r>
        <w:rPr>
          <w:b/>
          <w:bCs/>
        </w:rPr>
        <w:t>nastavi</w:t>
      </w:r>
      <w:proofErr w:type="spellEnd"/>
      <w:r>
        <w:rPr>
          <w:b/>
          <w:bCs/>
        </w:rPr>
        <w:t xml:space="preserve"> 6</w:t>
      </w:r>
      <w:r>
        <w:t>.</w:t>
      </w:r>
    </w:p>
    <w:p w14:paraId="76FCA2FA" w14:textId="77777777" w:rsidR="002B3125" w:rsidRDefault="009542A5">
      <w:pPr>
        <w:pStyle w:val="Tijeloteksta"/>
      </w:pPr>
      <w:r>
        <w:t>Najznačajniji prihodi ostvareni su iz sljedećih izvora:</w:t>
      </w:r>
    </w:p>
    <w:p w14:paraId="55053F1D" w14:textId="77777777" w:rsidR="002B3125" w:rsidRDefault="009542A5">
      <w:pPr>
        <w:pStyle w:val="Compact"/>
        <w:numPr>
          <w:ilvl w:val="0"/>
          <w:numId w:val="2"/>
        </w:numPr>
      </w:pPr>
      <w:r>
        <w:rPr>
          <w:b/>
          <w:bCs/>
        </w:rPr>
        <w:t>Tekuće pomoći iz proračuna koji nije nadležan (konto 6361)</w:t>
      </w:r>
      <w:r>
        <w:t xml:space="preserve"> – </w:t>
      </w:r>
      <w:r>
        <w:rPr>
          <w:b/>
          <w:bCs/>
        </w:rPr>
        <w:t>553.280,62 EUR</w:t>
      </w:r>
      <w:r>
        <w:t>, najvećim dijelom za financiranje plaća zaposlenika.</w:t>
      </w:r>
    </w:p>
    <w:p w14:paraId="455323C3" w14:textId="77777777" w:rsidR="002B3125" w:rsidRDefault="009542A5">
      <w:pPr>
        <w:pStyle w:val="Compact"/>
        <w:numPr>
          <w:ilvl w:val="0"/>
          <w:numId w:val="2"/>
        </w:numPr>
      </w:pPr>
      <w:r>
        <w:rPr>
          <w:b/>
          <w:bCs/>
        </w:rPr>
        <w:t>Prijenosi za Školsku shemu i projekt Pomoćnici u nastavi (konto 639)</w:t>
      </w:r>
      <w:r>
        <w:t xml:space="preserve"> – </w:t>
      </w:r>
      <w:r>
        <w:rPr>
          <w:b/>
          <w:bCs/>
        </w:rPr>
        <w:t>17.382,98 EUR</w:t>
      </w:r>
      <w:r>
        <w:t>.</w:t>
      </w:r>
    </w:p>
    <w:p w14:paraId="218FBCB8" w14:textId="77777777" w:rsidR="002B3125" w:rsidRDefault="009542A5">
      <w:pPr>
        <w:pStyle w:val="Compact"/>
        <w:numPr>
          <w:ilvl w:val="0"/>
          <w:numId w:val="2"/>
        </w:numPr>
      </w:pPr>
      <w:r>
        <w:rPr>
          <w:b/>
          <w:bCs/>
        </w:rPr>
        <w:t>Prihodi iz nadležnog proračuna (konto 671)</w:t>
      </w:r>
      <w:r>
        <w:t xml:space="preserve"> – </w:t>
      </w:r>
      <w:r>
        <w:rPr>
          <w:b/>
          <w:bCs/>
        </w:rPr>
        <w:t>31.804,57 EUR</w:t>
      </w:r>
      <w:r>
        <w:t>, namijenjeni financiranju redovne djelatnosti škole.</w:t>
      </w:r>
    </w:p>
    <w:p w14:paraId="2247A042" w14:textId="77777777" w:rsidR="002B3125" w:rsidRDefault="009542A5">
      <w:pPr>
        <w:pStyle w:val="FirstParagraph"/>
      </w:pPr>
      <w:r>
        <w:t>Struktura prihoda pokazuje da se poslovanje škole i dalje najvećim dijelom financira iz proračunskih izvora, uz uredno izvršavanje planiranih programa i aktivnosti.</w:t>
      </w:r>
    </w:p>
    <w:p w14:paraId="30DBCD68" w14:textId="77777777" w:rsidR="002B3125" w:rsidRDefault="009542A5">
      <w:pPr>
        <w:pStyle w:val="Naslov2"/>
      </w:pPr>
      <w:bookmarkStart w:id="3" w:name="rashodi-poslovanja"/>
      <w:bookmarkEnd w:id="2"/>
      <w:r>
        <w:t>3. Rashodi poslovanja</w:t>
      </w:r>
    </w:p>
    <w:p w14:paraId="7B63E8EB" w14:textId="77777777" w:rsidR="002B3125" w:rsidRDefault="009542A5">
      <w:pPr>
        <w:pStyle w:val="FirstParagraph"/>
      </w:pPr>
      <w:r>
        <w:t xml:space="preserve">Ukupni rashodi poslovanja iznose </w:t>
      </w:r>
      <w:r>
        <w:rPr>
          <w:b/>
          <w:bCs/>
        </w:rPr>
        <w:t>608.201,99 EUR</w:t>
      </w:r>
      <w:r>
        <w:t xml:space="preserve">, što predstavlja povećanje od </w:t>
      </w:r>
      <w:r>
        <w:rPr>
          <w:b/>
          <w:bCs/>
        </w:rPr>
        <w:t>12,2 %</w:t>
      </w:r>
      <w:r>
        <w:t xml:space="preserve"> u odnosu na isto razdoblje prethodne godine. Povećanje rashoda posljedica je prvenstveno povećanja troškova za zaposlene te provedbe planiranih aktivnosti, pri čemu su rashodi u skladu s planiranim financijskim okvirom.</w:t>
      </w:r>
    </w:p>
    <w:p w14:paraId="42EB6CEB" w14:textId="77777777" w:rsidR="002B3125" w:rsidRDefault="009542A5">
      <w:pPr>
        <w:pStyle w:val="Tijeloteksta"/>
      </w:pPr>
      <w:r>
        <w:lastRenderedPageBreak/>
        <w:t>Najznačajnije skupine rashoda su:</w:t>
      </w:r>
    </w:p>
    <w:p w14:paraId="5CBE3C6D" w14:textId="77777777" w:rsidR="002B3125" w:rsidRDefault="009542A5">
      <w:pPr>
        <w:pStyle w:val="Compact"/>
        <w:numPr>
          <w:ilvl w:val="0"/>
          <w:numId w:val="3"/>
        </w:numPr>
      </w:pPr>
      <w:r>
        <w:rPr>
          <w:b/>
          <w:bCs/>
        </w:rPr>
        <w:t>Rashodi za zaposlene (plaće)</w:t>
      </w:r>
      <w:r>
        <w:t xml:space="preserve"> – </w:t>
      </w:r>
      <w:r>
        <w:rPr>
          <w:b/>
          <w:bCs/>
        </w:rPr>
        <w:t>536.376,24 EUR</w:t>
      </w:r>
      <w:r>
        <w:t xml:space="preserve">, uz povećanje od približno </w:t>
      </w:r>
      <w:r>
        <w:rPr>
          <w:b/>
          <w:bCs/>
        </w:rPr>
        <w:t>14 %</w:t>
      </w:r>
      <w:r>
        <w:t xml:space="preserve"> u odnosu na prethodnu godinu.</w:t>
      </w:r>
    </w:p>
    <w:p w14:paraId="0920FF43" w14:textId="77777777" w:rsidR="002B3125" w:rsidRDefault="009542A5">
      <w:pPr>
        <w:pStyle w:val="Compact"/>
        <w:numPr>
          <w:ilvl w:val="0"/>
          <w:numId w:val="3"/>
        </w:numPr>
      </w:pPr>
      <w:r>
        <w:rPr>
          <w:b/>
          <w:bCs/>
        </w:rPr>
        <w:t>Materijalni rashodi</w:t>
      </w:r>
      <w:r>
        <w:t xml:space="preserve"> – </w:t>
      </w:r>
      <w:r>
        <w:rPr>
          <w:b/>
          <w:bCs/>
        </w:rPr>
        <w:t>71.636,75 EUR</w:t>
      </w:r>
      <w:r>
        <w:t>, koji su na razini rashoda ostvarenih u prethodnoj godini te ne pokazuju značajnija odstupanja.</w:t>
      </w:r>
    </w:p>
    <w:p w14:paraId="51ED62C3" w14:textId="77777777" w:rsidR="002B3125" w:rsidRDefault="009542A5">
      <w:pPr>
        <w:pStyle w:val="Compact"/>
        <w:numPr>
          <w:ilvl w:val="0"/>
          <w:numId w:val="3"/>
        </w:numPr>
      </w:pPr>
      <w:r>
        <w:rPr>
          <w:b/>
          <w:bCs/>
        </w:rPr>
        <w:t>Rashodi za nabavu proizvedene dugotrajne imovine</w:t>
      </w:r>
      <w:r>
        <w:t xml:space="preserve"> – </w:t>
      </w:r>
      <w:r>
        <w:rPr>
          <w:b/>
          <w:bCs/>
        </w:rPr>
        <w:t>2.879,06 EUR</w:t>
      </w:r>
      <w:r>
        <w:t>, a odnose se na provedbu programa Ministarstva namijenjenog radu s darovitim učenicima.</w:t>
      </w:r>
    </w:p>
    <w:p w14:paraId="1AF2C03D" w14:textId="77777777" w:rsidR="002B3125" w:rsidRDefault="009542A5">
      <w:pPr>
        <w:pStyle w:val="FirstParagraph"/>
      </w:pPr>
      <w:r>
        <w:t>Svi rashodi nastali su u svrhu redovnog obavljanja djelatnosti škole i provedbe odobrenih programa te su planirani Financijskim planom za 2026. godinu.</w:t>
      </w:r>
    </w:p>
    <w:p w14:paraId="6DC59F20" w14:textId="77777777" w:rsidR="002B3125" w:rsidRDefault="009542A5">
      <w:pPr>
        <w:pStyle w:val="Naslov2"/>
      </w:pPr>
      <w:bookmarkStart w:id="4" w:name="obveze"/>
      <w:bookmarkEnd w:id="3"/>
      <w:r>
        <w:t>4. Obveze</w:t>
      </w:r>
    </w:p>
    <w:p w14:paraId="51768CF4" w14:textId="77777777" w:rsidR="002B3125" w:rsidRDefault="009542A5">
      <w:pPr>
        <w:pStyle w:val="FirstParagraph"/>
      </w:pPr>
      <w:r>
        <w:t xml:space="preserve">Na dan 30. lipnja 2026. godine ukupne obveze škole iznose </w:t>
      </w:r>
      <w:r>
        <w:rPr>
          <w:b/>
          <w:bCs/>
        </w:rPr>
        <w:t>100.770,86 EUR</w:t>
      </w:r>
      <w:r>
        <w:t>.</w:t>
      </w:r>
    </w:p>
    <w:p w14:paraId="4C0A5012" w14:textId="77777777" w:rsidR="002B3125" w:rsidRDefault="009542A5">
      <w:pPr>
        <w:pStyle w:val="Tijeloteksta"/>
      </w:pPr>
      <w:r>
        <w:t>Od ukupnog iznosa:</w:t>
      </w:r>
    </w:p>
    <w:p w14:paraId="42AE9DCD" w14:textId="77777777" w:rsidR="002B3125" w:rsidRDefault="009542A5">
      <w:pPr>
        <w:pStyle w:val="Compact"/>
        <w:numPr>
          <w:ilvl w:val="0"/>
          <w:numId w:val="4"/>
        </w:numPr>
      </w:pPr>
      <w:r>
        <w:rPr>
          <w:b/>
          <w:bCs/>
        </w:rPr>
        <w:t>Dospjele obveze</w:t>
      </w:r>
      <w:r>
        <w:t xml:space="preserve"> iznose </w:t>
      </w:r>
      <w:r>
        <w:rPr>
          <w:b/>
          <w:bCs/>
        </w:rPr>
        <w:t>9.171,35 EUR</w:t>
      </w:r>
      <w:r>
        <w:t xml:space="preserve"> te su podmirene tijekom srpnja 2026. godine.</w:t>
      </w:r>
    </w:p>
    <w:p w14:paraId="3FE8A474" w14:textId="77777777" w:rsidR="002B3125" w:rsidRDefault="009542A5">
      <w:pPr>
        <w:pStyle w:val="Compact"/>
        <w:numPr>
          <w:ilvl w:val="0"/>
          <w:numId w:val="4"/>
        </w:numPr>
      </w:pPr>
      <w:r>
        <w:rPr>
          <w:b/>
          <w:bCs/>
        </w:rPr>
        <w:t>Nedospjele obveze</w:t>
      </w:r>
      <w:r>
        <w:t xml:space="preserve"> iznose </w:t>
      </w:r>
      <w:r>
        <w:rPr>
          <w:b/>
          <w:bCs/>
        </w:rPr>
        <w:t>91.599,51 EUR</w:t>
      </w:r>
      <w:r>
        <w:t>, a najvećim dijelom odnose se na obračunate plaće za lipanj te troškove prijevoza zaposlenika.</w:t>
      </w:r>
    </w:p>
    <w:p w14:paraId="5AF9CDF5" w14:textId="77777777" w:rsidR="002B3125" w:rsidRDefault="009542A5">
      <w:pPr>
        <w:pStyle w:val="FirstParagraph"/>
      </w:pPr>
      <w:r>
        <w:t>Škola uredno izvršava svoje financijske obveze te nema značajnijih kašnjenja u plaćanju dobavljača i ostalih vjerovnika.</w:t>
      </w:r>
    </w:p>
    <w:p w14:paraId="3C5F0559" w14:textId="77777777" w:rsidR="002B3125" w:rsidRDefault="009542A5">
      <w:pPr>
        <w:pStyle w:val="Naslov2"/>
      </w:pPr>
      <w:bookmarkStart w:id="5" w:name="zaključak"/>
      <w:bookmarkEnd w:id="4"/>
      <w:r>
        <w:t>5. Zaključak</w:t>
      </w:r>
    </w:p>
    <w:p w14:paraId="245CFCE7" w14:textId="77777777" w:rsidR="002B3125" w:rsidRDefault="009542A5">
      <w:pPr>
        <w:pStyle w:val="FirstParagraph"/>
      </w:pPr>
      <w:r>
        <w:t>Financijsko poslovanje škole tijekom prvog polugodišta 2026. godine bilo je stabilno i u skladu s planiranim aktivnostima. Iako je iskazan manjak poslovanja, on je najvećim dijelom posljedica prijenosa obveza između obračunskih razdoblja te ne ugrožava redovno poslovanje ustanove.</w:t>
      </w:r>
    </w:p>
    <w:p w14:paraId="1E5EEE08" w14:textId="700E7694" w:rsidR="002B3125" w:rsidRDefault="009542A5">
      <w:pPr>
        <w:pStyle w:val="Tijeloteksta"/>
      </w:pPr>
      <w:r>
        <w:t xml:space="preserve">Svi ostvareni prihodi i izvršeni rashodi povezani su s redovnim obavljanjem djelatnosti škole i provedbom odobrenih programa. Obveze se podmiruju uredno, a financijsko poslovanje odvija se u skladu s važećim propisima </w:t>
      </w:r>
      <w:proofErr w:type="spellStart"/>
      <w:r>
        <w:t>i</w:t>
      </w:r>
      <w:proofErr w:type="spellEnd"/>
      <w:r>
        <w:t xml:space="preserve"> </w:t>
      </w:r>
      <w:proofErr w:type="spellStart"/>
      <w:r>
        <w:t>planiranim</w:t>
      </w:r>
      <w:proofErr w:type="spellEnd"/>
      <w:r>
        <w:t xml:space="preserve"> </w:t>
      </w:r>
      <w:proofErr w:type="spellStart"/>
      <w:r>
        <w:t>financijskim</w:t>
      </w:r>
      <w:proofErr w:type="spellEnd"/>
      <w:r>
        <w:t xml:space="preserve"> </w:t>
      </w:r>
      <w:proofErr w:type="spellStart"/>
      <w:r>
        <w:t>okvirom</w:t>
      </w:r>
      <w:proofErr w:type="spellEnd"/>
      <w:r>
        <w:t>.</w:t>
      </w:r>
    </w:p>
    <w:p w14:paraId="75E7FBA1" w14:textId="77777777" w:rsidR="00DB12BE" w:rsidRDefault="00DB12BE">
      <w:pPr>
        <w:pStyle w:val="Tijeloteksta"/>
      </w:pPr>
    </w:p>
    <w:p w14:paraId="3ADE60A7" w14:textId="79087676" w:rsidR="002B3125" w:rsidRDefault="009542A5">
      <w:pPr>
        <w:pStyle w:val="Tijeloteksta"/>
        <w:rPr>
          <w:b/>
          <w:bCs/>
        </w:rPr>
      </w:pPr>
      <w:r>
        <w:rPr>
          <w:b/>
          <w:bCs/>
        </w:rPr>
        <w:t xml:space="preserve">Vrpolje, 13. srpnja 2026. </w:t>
      </w:r>
      <w:proofErr w:type="spellStart"/>
      <w:r w:rsidR="00DB12BE">
        <w:rPr>
          <w:b/>
          <w:bCs/>
        </w:rPr>
        <w:t>g</w:t>
      </w:r>
      <w:r>
        <w:rPr>
          <w:b/>
          <w:bCs/>
        </w:rPr>
        <w:t>odine</w:t>
      </w:r>
      <w:proofErr w:type="spellEnd"/>
    </w:p>
    <w:p w14:paraId="17F0BE60" w14:textId="77777777" w:rsidR="00DB12BE" w:rsidRDefault="00DB12BE">
      <w:pPr>
        <w:pStyle w:val="Tijeloteksta"/>
      </w:pPr>
    </w:p>
    <w:p w14:paraId="2031A81A" w14:textId="5B3AD1EF" w:rsidR="00DB12BE" w:rsidRDefault="009542A5">
      <w:pPr>
        <w:pStyle w:val="Tijeloteksta"/>
        <w:rPr>
          <w:b/>
          <w:bCs/>
        </w:rPr>
      </w:pPr>
      <w:proofErr w:type="spellStart"/>
      <w:r>
        <w:rPr>
          <w:b/>
          <w:bCs/>
        </w:rPr>
        <w:t>Voditelj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računovodstva</w:t>
      </w:r>
      <w:proofErr w:type="spellEnd"/>
      <w:r>
        <w:rPr>
          <w:b/>
          <w:bCs/>
        </w:rPr>
        <w:t>:</w:t>
      </w:r>
      <w:r w:rsidR="00DB12BE">
        <w:rPr>
          <w:b/>
          <w:bCs/>
        </w:rPr>
        <w:t xml:space="preserve">                                                                            </w:t>
      </w:r>
      <w:proofErr w:type="spellStart"/>
      <w:r w:rsidR="00DB12BE">
        <w:rPr>
          <w:b/>
          <w:bCs/>
        </w:rPr>
        <w:t>Ravnatelj</w:t>
      </w:r>
      <w:proofErr w:type="spellEnd"/>
      <w:r w:rsidR="00DB12BE">
        <w:rPr>
          <w:b/>
          <w:bCs/>
        </w:rPr>
        <w:t>:</w:t>
      </w:r>
    </w:p>
    <w:p w14:paraId="002EC5E8" w14:textId="36217677" w:rsidR="002B3125" w:rsidRDefault="00DB12BE">
      <w:pPr>
        <w:pStyle w:val="Tijeloteksta"/>
      </w:pPr>
      <w:r>
        <w:rPr>
          <w:b/>
          <w:bCs/>
        </w:rPr>
        <w:t xml:space="preserve">_______________________                                                                     ____________________                                                                                                                 </w:t>
      </w:r>
      <w:r w:rsidR="009542A5">
        <w:br/>
        <w:t xml:space="preserve">Zorana </w:t>
      </w:r>
      <w:proofErr w:type="spellStart"/>
      <w:r w:rsidR="009542A5">
        <w:t>Todorović</w:t>
      </w:r>
      <w:proofErr w:type="spellEnd"/>
      <w:r>
        <w:t xml:space="preserve">                                                                                        Stipe </w:t>
      </w:r>
      <w:proofErr w:type="spellStart"/>
      <w:proofErr w:type="gramStart"/>
      <w:r>
        <w:t>Komadina,dipl.theol</w:t>
      </w:r>
      <w:proofErr w:type="spellEnd"/>
      <w:r>
        <w:t>.</w:t>
      </w:r>
      <w:proofErr w:type="gramEnd"/>
      <w:r>
        <w:t xml:space="preserve">                                                                       </w:t>
      </w:r>
    </w:p>
    <w:p w14:paraId="35F49870" w14:textId="77777777" w:rsidR="00DB12BE" w:rsidRDefault="00DB12BE">
      <w:pPr>
        <w:pStyle w:val="Tijeloteksta"/>
      </w:pPr>
    </w:p>
    <w:bookmarkEnd w:id="0"/>
    <w:bookmarkEnd w:id="5"/>
    <w:p w14:paraId="1D6B0397" w14:textId="3CCA9610" w:rsidR="002B3125" w:rsidRDefault="002B3125">
      <w:pPr>
        <w:pStyle w:val="Tijeloteksta"/>
      </w:pPr>
    </w:p>
    <w:sectPr w:rsidR="002B3125">
      <w:footnotePr>
        <w:numRestart w:val="eachSect"/>
      </w:footnotePr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1CE4BF2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6888BF4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125"/>
    <w:rsid w:val="002B3125"/>
    <w:rsid w:val="006D55A9"/>
    <w:rsid w:val="009542A5"/>
    <w:rsid w:val="00DB12BE"/>
    <w:rsid w:val="00F2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2B21"/>
  <w15:docId w15:val="{4DD549BE-5AB1-4FF2-9DF5-93DE89F3A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Tijeloteksta"/>
    <w:link w:val="Naslov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Tijeloteksta"/>
    <w:link w:val="Naslov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Tijeloteksta"/>
    <w:link w:val="Naslov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Tijeloteksta"/>
    <w:link w:val="Naslov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Tijeloteksta"/>
    <w:link w:val="Naslov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Tijeloteksta"/>
    <w:link w:val="Naslov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Tijeloteksta"/>
    <w:link w:val="Naslov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Tijeloteksta"/>
    <w:link w:val="Naslov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Tijeloteksta"/>
    <w:link w:val="Naslov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ijeloteksta"/>
    <w:next w:val="Tijeloteksta"/>
    <w:qFormat/>
  </w:style>
  <w:style w:type="paragraph" w:customStyle="1" w:styleId="Compact">
    <w:name w:val="Compact"/>
    <w:basedOn w:val="Tijeloteksta"/>
    <w:qFormat/>
    <w:pPr>
      <w:spacing w:before="36" w:after="36"/>
    </w:pPr>
  </w:style>
  <w:style w:type="paragraph" w:styleId="Naslov">
    <w:name w:val="Title"/>
    <w:basedOn w:val="Normal"/>
    <w:next w:val="Tijeloteksta"/>
    <w:link w:val="Naslo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slov"/>
    <w:next w:val="Tijeloteksta"/>
    <w:link w:val="Podnaslov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ijeloteksta"/>
    <w:qFormat/>
    <w:pPr>
      <w:keepNext/>
      <w:keepLines/>
      <w:jc w:val="center"/>
    </w:pPr>
  </w:style>
  <w:style w:type="paragraph" w:styleId="Datum">
    <w:name w:val="Date"/>
    <w:next w:val="Tijeloteksta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ijeloteksta"/>
    <w:qFormat/>
    <w:pPr>
      <w:keepNext/>
      <w:keepLines/>
      <w:spacing w:before="100" w:after="300"/>
    </w:pPr>
    <w:rPr>
      <w:sz w:val="20"/>
      <w:szCs w:val="20"/>
    </w:rPr>
  </w:style>
  <w:style w:type="paragraph" w:styleId="Bibliografija">
    <w:name w:val="Bibliography"/>
    <w:basedOn w:val="Normal"/>
    <w:qFormat/>
  </w:style>
  <w:style w:type="character" w:customStyle="1" w:styleId="Naslov1Char">
    <w:name w:val="Naslov 1 Char"/>
    <w:basedOn w:val="Zadanifontodlomka"/>
    <w:link w:val="Naslov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kteksta">
    <w:name w:val="Block Text"/>
    <w:basedOn w:val="Tijeloteksta"/>
    <w:next w:val="Tijeloteksta"/>
    <w:uiPriority w:val="9"/>
    <w:unhideWhenUsed/>
    <w:qFormat/>
    <w:pPr>
      <w:spacing w:before="100" w:after="100"/>
      <w:ind w:left="480" w:right="480"/>
    </w:pPr>
  </w:style>
  <w:style w:type="paragraph" w:styleId="Tekstfusnot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kstfusnote"/>
    <w:next w:val="Tekstfusnot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Opisslike">
    <w:name w:val="caption"/>
    <w:basedOn w:val="Normal"/>
    <w:link w:val="OpisslikeChar"/>
    <w:pPr>
      <w:spacing w:after="120"/>
    </w:pPr>
    <w:rPr>
      <w:i/>
    </w:rPr>
  </w:style>
  <w:style w:type="paragraph" w:customStyle="1" w:styleId="TableCaption">
    <w:name w:val="Table Caption"/>
    <w:basedOn w:val="Opisslike"/>
    <w:pPr>
      <w:keepNext/>
    </w:pPr>
  </w:style>
  <w:style w:type="paragraph" w:customStyle="1" w:styleId="ImageCaption">
    <w:name w:val="Image Caption"/>
    <w:basedOn w:val="Opisslik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OpisslikeChar">
    <w:name w:val="Opis slike Char"/>
    <w:basedOn w:val="Zadanifontodlomka"/>
    <w:link w:val="Opisslike"/>
  </w:style>
  <w:style w:type="character" w:customStyle="1" w:styleId="VerbatimChar">
    <w:name w:val="Verbatim Char"/>
    <w:basedOn w:val="Opisslike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OpisslikeChar"/>
  </w:style>
  <w:style w:type="character" w:styleId="Referencafusnote">
    <w:name w:val="footnote reference"/>
    <w:basedOn w:val="OpisslikeChar"/>
    <w:rPr>
      <w:vertAlign w:val="superscript"/>
    </w:rPr>
  </w:style>
  <w:style w:type="character" w:styleId="Hiperveza">
    <w:name w:val="Hyperlink"/>
    <w:basedOn w:val="OpisslikeChar"/>
    <w:rPr>
      <w:color w:val="156082" w:themeColor="accent1"/>
    </w:rPr>
  </w:style>
  <w:style w:type="paragraph" w:styleId="TOCNaslov">
    <w:name w:val="TOC Heading"/>
    <w:basedOn w:val="Naslov1"/>
    <w:next w:val="Tijeloteksta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keywords/>
  <cp:lastModifiedBy>Korisnik</cp:lastModifiedBy>
  <cp:revision>6</cp:revision>
  <dcterms:created xsi:type="dcterms:W3CDTF">2026-07-13T23:07:00Z</dcterms:created>
  <dcterms:modified xsi:type="dcterms:W3CDTF">2026-07-13T23:18:00Z</dcterms:modified>
</cp:coreProperties>
</file>